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7.png" ContentType="image/png"/>
  <Override PartName="/word/media/rId40.png" ContentType="image/png"/>
  <Override PartName="/word/media/rId47.png" ContentType="image/png"/>
  <Override PartName="/word/media/rId54.png" ContentType="image/png"/>
  <Override PartName="/word/media/rId61.png" ContentType="image/png"/>
  <Override PartName="/word/media/rId68.png" ContentType="image/png"/>
  <Override PartName="/word/media/rId75.png" ContentType="image/png"/>
  <Override PartName="/word/media/rId82.png" ContentType="image/png"/>
  <Override PartName="/word/media/rId127.png" ContentType="image/png"/>
  <Override PartName="/word/media/rId37.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86.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das-herz-von-jerusalem"/>
    <w:p>
      <w:pPr>
        <w:pStyle w:val="Heading1"/>
      </w:pPr>
      <w:r>
        <w:t xml:space="preserve">Das Herz von Jerusalem</w:t>
      </w:r>
    </w:p>
    <w:bookmarkStart w:id="25"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CaptionedFigure"/>
      </w:pPr>
      <w:r>
        <w:drawing>
          <wp:inline>
            <wp:extent cx="5334000" cy="5334000"/>
            <wp:effectExtent b="0" l="0" r="0" t="0"/>
            <wp:docPr descr="de/images/two-witnesses.jpg" title="" id="23" name="Picture"/>
            <a:graphic>
              <a:graphicData uri="http://schemas.openxmlformats.org/drawingml/2006/picture">
                <pic:pic>
                  <pic:nvPicPr>
                    <pic:cNvPr descr="de/images/two-witnesses.jp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de/images/two-witnesses.jpg</w:t>
      </w:r>
    </w:p>
    <w:bookmarkEnd w:id="25"/>
    <w:bookmarkEnd w:id="26"/>
    <w:bookmarkStart w:id="27" w:name="über-dieses-buch"/>
    <w:p>
      <w:pPr>
        <w:pStyle w:val="Heading1"/>
      </w:pPr>
      <w:r>
        <w:t xml:space="preserve">Über dieses Buch</w:t>
      </w:r>
    </w:p>
    <w:p>
      <w:pPr>
        <w:pStyle w:val="FirstParagraph"/>
      </w:pPr>
      <w:r>
        <w:t xml:space="preserve">Dieses Buch ist nicht kostenlos.</w:t>
      </w:r>
      <w:r>
        <w:t xml:space="preserve"> </w:t>
      </w:r>
      <w:r>
        <w:t xml:space="preserve">Wenn das vernichten, verbrennen, also das wahrhaftige opfern von etwas Geld für dich nicht befreiend wirkt, dann ist dieses Buch für dich vollkommen nutzlos.</w:t>
      </w:r>
    </w:p>
    <w:p>
      <w:pPr>
        <w:pStyle w:val="BodyText"/>
      </w:pPr>
      <w:r>
        <w:t xml:space="preserve">Im ersten Teil dieses Buches wird zunächst der wahre himmlische Geist von Jesus Christus wieder hergestellt.</w:t>
      </w:r>
    </w:p>
    <w:p>
      <w:pPr>
        <w:pStyle w:val="BodyText"/>
      </w:pPr>
      <w:r>
        <w:t xml:space="preserve">Im zweiten Teil dieses Buches wird die wahre himmlische Ordnung von Moses Wieder hergestellt.</w:t>
      </w:r>
    </w:p>
    <w:p>
      <w:pPr>
        <w:pStyle w:val="BodyText"/>
      </w:pPr>
      <w:r>
        <w:t xml:space="preserve">Der dritte Teil beschreibt Zeitpunkt, Ort und Inhalte von einem besonderen Ereignis, in dem der wahre Geist von Noah und Erzengel Michael wieder hergestellt werden. Noah lädt alle ein, denen dieses Buch etwas nützt und der Rest geht durch seinen Waschtisch. Michael stellt den wahren himmlischen Tempel und das wahre Jerusalem wieder her.</w:t>
      </w:r>
    </w:p>
    <w:p>
      <w:pPr>
        <w:pStyle w:val="BodyText"/>
      </w:pPr>
      <w:r>
        <w:t xml:space="preserve">Damit fahre ich mit diesem Buch genau dort fort, mache genau dort weiter, wo Jesus Christus unterbrochen wurde.</w:t>
      </w:r>
    </w:p>
    <w:p>
      <w:pPr>
        <w:pStyle w:val="BodyText"/>
      </w:pPr>
      <w:r>
        <w:t xml:space="preserve">Die Fortsetzung besteht darin, das alles wieder zurück gesetzt auf den Ursprung mit Ausnahme von allen und allem das den Himmlischen Geist abgelehnt hat.</w:t>
      </w:r>
    </w:p>
    <w:p>
      <w:pPr>
        <w:pStyle w:val="BodyText"/>
      </w:pPr>
      <w:r>
        <w:t xml:space="preserve">Dies wird so lange halten wie:</w:t>
      </w:r>
      <w:r>
        <w:t xml:space="preserve"> </w:t>
      </w:r>
      <w:r>
        <w:t xml:space="preserve">| alles -1- ist im Geiste des Himmels,</w:t>
      </w:r>
      <w:r>
        <w:t xml:space="preserve"> </w:t>
      </w:r>
      <w:r>
        <w:t xml:space="preserve">| der himmlische Geist -0- Makel hat,</w:t>
      </w:r>
      <w:r>
        <w:t xml:space="preserve"> </w:t>
      </w:r>
      <w:r>
        <w:t xml:space="preserve">| die himmlische Ordnung -0- Makel hat.</w:t>
      </w:r>
      <w:r>
        <w:t xml:space="preserve"> </w:t>
      </w:r>
      <w:r>
        <w:t xml:space="preserve">| der himmlische Tempel -0- Makel hat.</w:t>
      </w:r>
    </w:p>
    <w:p>
      <w:pPr>
        <w:pStyle w:val="BodyText"/>
      </w:pPr>
      <w:r>
        <w:t xml:space="preserve">Die Dauer ist also nicht durch einen durch -1-0-0-0- Jahre zählbaren Zeitraum begrenzt, wie unsere geistlosen Dämone von ihren stolzen Kanzeln predigen. Sondern er beschreibt einen geistigen, einen himmlischen Zustand.</w:t>
      </w:r>
      <w:r>
        <w:t xml:space="preserve"> </w:t>
      </w:r>
      <w:r>
        <w:t xml:space="preserve">Ein Zustand, der schon dann längst nicht mehr himmlisch ist, wenn ihre Bewohner anfangen, stolz die Jahre des Bestandes ihres vermeintlichen Himmelreichs zu Zählen. Eines Himmelreichs, das gar keine zählbare Dauer hat.</w:t>
      </w:r>
    </w:p>
    <w:bookmarkEnd w:id="27"/>
    <w:bookmarkStart w:id="28" w:name="wer-füllt-die-worte-mit-leben"/>
    <w:p>
      <w:pPr>
        <w:pStyle w:val="Heading1"/>
      </w:pPr>
      <w:r>
        <w:t xml:space="preserve">Wer füllt die Worte mit Leben?</w:t>
      </w:r>
    </w:p>
    <w:p>
      <w:pPr>
        <w:pStyle w:val="FirstParagraph"/>
      </w:pPr>
      <w:r>
        <w:t xml:space="preserve">Worte sind das Ende und der Tod.</w:t>
      </w:r>
    </w:p>
    <w:p>
      <w:pPr>
        <w:pStyle w:val="BodyText"/>
      </w:pPr>
      <w:r>
        <w:t xml:space="preserve">Wenn die Engel des Himmels sich der physischen Worte bedienen müssen um euch zu erreichen, dann ist das Ende gekommen.</w:t>
      </w:r>
      <w:r>
        <w:t xml:space="preserve"> </w:t>
      </w:r>
      <w:r>
        <w:t xml:space="preserve">Für mich ist dies ein trauriger Moment, denn mit diesen Worten graviere ich eure Namen in eure Grabsteine.</w:t>
      </w:r>
    </w:p>
    <w:p>
      <w:pPr>
        <w:pStyle w:val="BodyText"/>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8"/>
    <w:bookmarkStart w:id="29"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9"/>
    <w:bookmarkStart w:id="30"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30"/>
    <w:bookmarkStart w:id="31"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31"/>
    <w:bookmarkStart w:id="32"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2"/>
    <w:bookmarkStart w:id="33"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3"/>
    <w:bookmarkStart w:id="34"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4"/>
    <w:bookmarkStart w:id="35"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5"/>
    <w:bookmarkStart w:id="36"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6"/>
    <w:bookmarkStart w:id="43"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8" name="Picture"/>
            <a:graphic>
              <a:graphicData uri="http://schemas.openxmlformats.org/drawingml/2006/picture">
                <pic:pic>
                  <pic:nvPicPr>
                    <pic:cNvPr descr="de/images/staff-1.png" id="39" name="Picture"/>
                    <pic:cNvPicPr>
                      <a:picLocks noChangeArrowheads="1" noChangeAspect="1"/>
                    </pic:cNvPicPr>
                  </pic:nvPicPr>
                  <pic:blipFill>
                    <a:blip r:embed="rId37"/>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1" name="Picture"/>
            <a:graphic>
              <a:graphicData uri="http://schemas.openxmlformats.org/drawingml/2006/picture">
                <pic:pic>
                  <pic:nvPicPr>
                    <pic:cNvPr descr="de/images/flute-1.png" id="42" name="Picture"/>
                    <pic:cNvPicPr>
                      <a:picLocks noChangeArrowheads="1" noChangeAspect="1"/>
                    </pic:cNvPicPr>
                  </pic:nvPicPr>
                  <pic:blipFill>
                    <a:blip r:embed="rId4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3"/>
    <w:bookmarkStart w:id="50" w:name="zweite-schale-demut"/>
    <w:p>
      <w:pPr>
        <w:pStyle w:val="Heading1"/>
      </w:pPr>
      <w:r>
        <w:t xml:space="preserve">Zweite Schale: Demut</w:t>
      </w:r>
    </w:p>
    <w:p>
      <w:pPr>
        <w:pStyle w:val="CaptionedFigure"/>
      </w:pPr>
      <w:r>
        <w:drawing>
          <wp:inline>
            <wp:extent cx="1513806" cy="614696"/>
            <wp:effectExtent b="0" l="0" r="0" t="0"/>
            <wp:docPr descr="images/staff-2.png" title="" id="45" name="Picture"/>
            <a:graphic>
              <a:graphicData uri="http://schemas.openxmlformats.org/drawingml/2006/picture">
                <pic:pic>
                  <pic:nvPicPr>
                    <pic:cNvPr descr="de/images/staff-2.png" id="46" name="Picture"/>
                    <pic:cNvPicPr>
                      <a:picLocks noChangeArrowheads="1" noChangeAspect="1"/>
                    </pic:cNvPicPr>
                  </pic:nvPicPr>
                  <pic:blipFill>
                    <a:blip r:embed="rId44"/>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8" name="Picture"/>
            <a:graphic>
              <a:graphicData uri="http://schemas.openxmlformats.org/drawingml/2006/picture">
                <pic:pic>
                  <pic:nvPicPr>
                    <pic:cNvPr descr="de/images/flute-2.png" id="49" name="Picture"/>
                    <pic:cNvPicPr>
                      <a:picLocks noChangeArrowheads="1" noChangeAspect="1"/>
                    </pic:cNvPicPr>
                  </pic:nvPicPr>
                  <pic:blipFill>
                    <a:blip r:embed="rId4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0"/>
    <w:bookmarkStart w:id="57" w:name="dritte-schale-vergebung"/>
    <w:p>
      <w:pPr>
        <w:pStyle w:val="Heading1"/>
      </w:pPr>
      <w:r>
        <w:t xml:space="preserve">Dritte Schale: Vergebung</w:t>
      </w:r>
    </w:p>
    <w:p>
      <w:pPr>
        <w:pStyle w:val="CaptionedFigure"/>
      </w:pPr>
      <w:r>
        <w:drawing>
          <wp:inline>
            <wp:extent cx="1470991" cy="614696"/>
            <wp:effectExtent b="0" l="0" r="0" t="0"/>
            <wp:docPr descr="images/staff-3.png" title="" id="52" name="Picture"/>
            <a:graphic>
              <a:graphicData uri="http://schemas.openxmlformats.org/drawingml/2006/picture">
                <pic:pic>
                  <pic:nvPicPr>
                    <pic:cNvPr descr="de/images/staff-3.png" id="53" name="Picture"/>
                    <pic:cNvPicPr>
                      <a:picLocks noChangeArrowheads="1" noChangeAspect="1"/>
                    </pic:cNvPicPr>
                  </pic:nvPicPr>
                  <pic:blipFill>
                    <a:blip r:embed="rId51"/>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5" name="Picture"/>
            <a:graphic>
              <a:graphicData uri="http://schemas.openxmlformats.org/drawingml/2006/picture">
                <pic:pic>
                  <pic:nvPicPr>
                    <pic:cNvPr descr="de/images/flute-3.png" id="56" name="Picture"/>
                    <pic:cNvPicPr>
                      <a:picLocks noChangeArrowheads="1" noChangeAspect="1"/>
                    </pic:cNvPicPr>
                  </pic:nvPicPr>
                  <pic:blipFill>
                    <a:blip r:embed="rId5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7"/>
    <w:bookmarkStart w:id="64"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9" name="Picture"/>
            <a:graphic>
              <a:graphicData uri="http://schemas.openxmlformats.org/drawingml/2006/picture">
                <pic:pic>
                  <pic:nvPicPr>
                    <pic:cNvPr descr="de/images/staff-4.png" id="60" name="Picture"/>
                    <pic:cNvPicPr>
                      <a:picLocks noChangeArrowheads="1" noChangeAspect="1"/>
                    </pic:cNvPicPr>
                  </pic:nvPicPr>
                  <pic:blipFill>
                    <a:blip r:embed="rId58"/>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2" name="Picture"/>
            <a:graphic>
              <a:graphicData uri="http://schemas.openxmlformats.org/drawingml/2006/picture">
                <pic:pic>
                  <pic:nvPicPr>
                    <pic:cNvPr descr="de/images/flute-4.png" id="63" name="Picture"/>
                    <pic:cNvPicPr>
                      <a:picLocks noChangeArrowheads="1" noChangeAspect="1"/>
                    </pic:cNvPicPr>
                  </pic:nvPicPr>
                  <pic:blipFill>
                    <a:blip r:embed="rId6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4"/>
    <w:bookmarkStart w:id="71"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6" name="Picture"/>
            <a:graphic>
              <a:graphicData uri="http://schemas.openxmlformats.org/drawingml/2006/picture">
                <pic:pic>
                  <pic:nvPicPr>
                    <pic:cNvPr descr="de/images/staff-5.png" id="67" name="Picture"/>
                    <pic:cNvPicPr>
                      <a:picLocks noChangeArrowheads="1" noChangeAspect="1"/>
                    </pic:cNvPicPr>
                  </pic:nvPicPr>
                  <pic:blipFill>
                    <a:blip r:embed="rId65"/>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9" name="Picture"/>
            <a:graphic>
              <a:graphicData uri="http://schemas.openxmlformats.org/drawingml/2006/picture">
                <pic:pic>
                  <pic:nvPicPr>
                    <pic:cNvPr descr="de/images/flute-5.png" id="70" name="Picture"/>
                    <pic:cNvPicPr>
                      <a:picLocks noChangeArrowheads="1" noChangeAspect="1"/>
                    </pic:cNvPicPr>
                  </pic:nvPicPr>
                  <pic:blipFill>
                    <a:blip r:embed="rId6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1"/>
    <w:bookmarkStart w:id="78"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3" name="Picture"/>
            <a:graphic>
              <a:graphicData uri="http://schemas.openxmlformats.org/drawingml/2006/picture">
                <pic:pic>
                  <pic:nvPicPr>
                    <pic:cNvPr descr="de/images/staff-6.png" id="74" name="Picture"/>
                    <pic:cNvPicPr>
                      <a:picLocks noChangeArrowheads="1" noChangeAspect="1"/>
                    </pic:cNvPicPr>
                  </pic:nvPicPr>
                  <pic:blipFill>
                    <a:blip r:embed="rId72"/>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6" name="Picture"/>
            <a:graphic>
              <a:graphicData uri="http://schemas.openxmlformats.org/drawingml/2006/picture">
                <pic:pic>
                  <pic:nvPicPr>
                    <pic:cNvPr descr="de/images/flute-6.png" id="77" name="Picture"/>
                    <pic:cNvPicPr>
                      <a:picLocks noChangeArrowheads="1" noChangeAspect="1"/>
                    </pic:cNvPicPr>
                  </pic:nvPicPr>
                  <pic:blipFill>
                    <a:blip r:embed="rId7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8"/>
    <w:bookmarkStart w:id="85"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80" name="Picture"/>
            <a:graphic>
              <a:graphicData uri="http://schemas.openxmlformats.org/drawingml/2006/picture">
                <pic:pic>
                  <pic:nvPicPr>
                    <pic:cNvPr descr="de/images/staff-7.png" id="81" name="Picture"/>
                    <pic:cNvPicPr>
                      <a:picLocks noChangeArrowheads="1" noChangeAspect="1"/>
                    </pic:cNvPicPr>
                  </pic:nvPicPr>
                  <pic:blipFill>
                    <a:blip r:embed="rId79"/>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3" name="Picture"/>
            <a:graphic>
              <a:graphicData uri="http://schemas.openxmlformats.org/drawingml/2006/picture">
                <pic:pic>
                  <pic:nvPicPr>
                    <pic:cNvPr descr="de/images/flute-7.png" id="84" name="Picture"/>
                    <pic:cNvPicPr>
                      <a:picLocks noChangeArrowheads="1" noChangeAspect="1"/>
                    </pic:cNvPicPr>
                  </pic:nvPicPr>
                  <pic:blipFill>
                    <a:blip r:embed="rId8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5"/>
    <w:bookmarkStart w:id="89"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7" name="Picture"/>
            <a:graphic>
              <a:graphicData uri="http://schemas.openxmlformats.org/drawingml/2006/picture">
                <pic:pic>
                  <pic:nvPicPr>
                    <pic:cNvPr descr="de/images/staff-and-flute.png" id="88" name="Picture"/>
                    <pic:cNvPicPr>
                      <a:picLocks noChangeArrowheads="1" noChangeAspect="1"/>
                    </pic:cNvPicPr>
                  </pic:nvPicPr>
                  <pic:blipFill>
                    <a:blip r:embed="rId86"/>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89"/>
    <w:bookmarkStart w:id="91" w:name="tag-2---vor-den-toren-des-himmels"/>
    <w:p>
      <w:pPr>
        <w:pStyle w:val="Heading1"/>
      </w:pPr>
      <w:r>
        <w:t xml:space="preserve">Tag 2 - Vor den Toren des Himmels</w:t>
      </w:r>
    </w:p>
    <w:bookmarkStart w:id="90"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0"/>
    <w:bookmarkEnd w:id="91"/>
    <w:bookmarkStart w:id="92"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2"/>
    <w:bookmarkStart w:id="94"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3"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3"/>
    <w:bookmarkEnd w:id="94"/>
    <w:bookmarkStart w:id="95"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5"/>
    <w:bookmarkStart w:id="96" w:name="erstes-gebot"/>
    <w:p>
      <w:pPr>
        <w:pStyle w:val="Heading1"/>
      </w:pPr>
      <w:r>
        <w:t xml:space="preserve">Erstes Gebot</w:t>
      </w:r>
    </w:p>
    <w:bookmarkEnd w:id="96"/>
    <w:bookmarkStart w:id="97"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7"/>
    <w:bookmarkStart w:id="98" w:name="zweites-gebot"/>
    <w:p>
      <w:pPr>
        <w:pStyle w:val="Heading1"/>
      </w:pPr>
      <w:r>
        <w:t xml:space="preserve">Zweites Gebot</w:t>
      </w:r>
    </w:p>
    <w:bookmarkEnd w:id="98"/>
    <w:bookmarkStart w:id="99"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9"/>
    <w:bookmarkStart w:id="100" w:name="drittes-gebot"/>
    <w:p>
      <w:pPr>
        <w:pStyle w:val="Heading1"/>
      </w:pPr>
      <w:r>
        <w:t xml:space="preserve">Drittes Gebot</w:t>
      </w:r>
    </w:p>
    <w:bookmarkEnd w:id="100"/>
    <w:bookmarkStart w:id="101"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01"/>
    <w:bookmarkStart w:id="102" w:name="viertes-gebot"/>
    <w:p>
      <w:pPr>
        <w:pStyle w:val="Heading1"/>
      </w:pPr>
      <w:r>
        <w:t xml:space="preserve">Viertes Gebot</w:t>
      </w:r>
    </w:p>
    <w:bookmarkEnd w:id="102"/>
    <w:bookmarkStart w:id="103"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3"/>
    <w:bookmarkStart w:id="104" w:name="fünftes-gebot"/>
    <w:p>
      <w:pPr>
        <w:pStyle w:val="Heading1"/>
      </w:pPr>
      <w:r>
        <w:t xml:space="preserve">Fünftes Gebot</w:t>
      </w:r>
    </w:p>
    <w:bookmarkEnd w:id="104"/>
    <w:bookmarkStart w:id="105"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5"/>
    <w:bookmarkStart w:id="106" w:name="sechstes-gebot"/>
    <w:p>
      <w:pPr>
        <w:pStyle w:val="Heading1"/>
      </w:pPr>
      <w:r>
        <w:t xml:space="preserve">Sechstes Gebot</w:t>
      </w:r>
    </w:p>
    <w:bookmarkEnd w:id="106"/>
    <w:bookmarkStart w:id="107"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7"/>
    <w:bookmarkStart w:id="108" w:name="siebtes-gebot"/>
    <w:p>
      <w:pPr>
        <w:pStyle w:val="Heading1"/>
      </w:pPr>
      <w:r>
        <w:t xml:space="preserve">Siebtes Gebot</w:t>
      </w:r>
    </w:p>
    <w:bookmarkEnd w:id="108"/>
    <w:bookmarkStart w:id="109"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9"/>
    <w:bookmarkStart w:id="110" w:name="achtes-gebot"/>
    <w:p>
      <w:pPr>
        <w:pStyle w:val="Heading1"/>
      </w:pPr>
      <w:r>
        <w:t xml:space="preserve">Achtes Gebot</w:t>
      </w:r>
    </w:p>
    <w:bookmarkEnd w:id="110"/>
    <w:bookmarkStart w:id="111"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11"/>
    <w:bookmarkStart w:id="112" w:name="neuntes-gebot"/>
    <w:p>
      <w:pPr>
        <w:pStyle w:val="Heading1"/>
      </w:pPr>
      <w:r>
        <w:t xml:space="preserve">Neuntes Gebot</w:t>
      </w:r>
    </w:p>
    <w:bookmarkEnd w:id="112"/>
    <w:bookmarkStart w:id="113"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3"/>
    <w:bookmarkStart w:id="114" w:name="zehntes-gebot"/>
    <w:p>
      <w:pPr>
        <w:pStyle w:val="Heading1"/>
      </w:pPr>
      <w:r>
        <w:t xml:space="preserve">Zehntes Gebot</w:t>
      </w:r>
    </w:p>
    <w:bookmarkEnd w:id="114"/>
    <w:bookmarkStart w:id="115"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15"/>
    <w:bookmarkStart w:id="116"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16"/>
    <w:bookmarkStart w:id="120"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18" name="Picture"/>
            <a:graphic>
              <a:graphicData uri="http://schemas.openxmlformats.org/drawingml/2006/picture">
                <pic:pic>
                  <pic:nvPicPr>
                    <pic:cNvPr descr="de/images/chef-angel.png" id="119" name="Picture"/>
                    <pic:cNvPicPr>
                      <a:picLocks noChangeArrowheads="1" noChangeAspect="1"/>
                    </pic:cNvPicPr>
                  </pic:nvPicPr>
                  <pic:blipFill>
                    <a:blip r:embed="rId117"/>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20"/>
    <w:bookmarkStart w:id="121" w:name="day-3-resurrection-of-jerusalem"/>
    <w:p>
      <w:pPr>
        <w:pStyle w:val="Heading1"/>
      </w:pPr>
      <w:r>
        <w:t xml:space="preserve">Day 3: Resurrection of Jerusalem</w:t>
      </w:r>
    </w:p>
    <w:p>
      <w:pPr>
        <w:pStyle w:val="FirstParagraph"/>
      </w:pPr>
      <w:r>
        <w:t xml:space="preserve">Religiöse Schafe und ihre Baals-Priester fressen das sanftmütige Gras des Himmels und die zarten Blüten der Engel, um ihren himmlischen Liebesdienst aus ihnen herauszusaugen. Ihre jämmerlichen Reste scheiden sie als stinkenden Kot aus, bis vom Himmel nur noch eine stinkende Kloake aus Kot und Steinen übrig bleibt. Für diese religiösen Schafe ist die himmlische Herzenshaltung tatsächlich nichts anderes als Hundekot am Straßenrand, in den sie aus Versehen getreten sind, um ihn dann scheinheilig über die ganze Welt zu verteilen.</w:t>
      </w:r>
    </w:p>
    <w:p>
      <w:pPr>
        <w:pStyle w:val="BodyText"/>
      </w:pPr>
      <w:r>
        <w:t xml:space="preserve">Wir Engel des Himmels aber nehmen diesen Schafdung und rekonstruieren mithilfe unserer himmlischen Herzenshaltung selbst aus diesem stinkenden Kot noch die Schönheit des Himmels – nur um dann erneut von den religiösen Schafen gefressen, zertrampelt und mit ihrem stinkenden Kot verdorben zu werden.</w:t>
      </w:r>
    </w:p>
    <w:p>
      <w:pPr>
        <w:pStyle w:val="BodyText"/>
      </w:pPr>
      <w:r>
        <w:t xml:space="preserve">Gesetze und Strafgerichte können eine verdorbene, verstümmelte Herzenshaltung weder ersetzen noch wiederherstellen. Sie bilden bestenfalls ein Stützkorsett, das den Schein einer unversehrten, makellosen Herzenshaltung vorgaukelt oder gar erzwingt.</w:t>
      </w:r>
    </w:p>
    <w:p>
      <w:pPr>
        <w:pStyle w:val="BodyText"/>
      </w:pPr>
      <w:r>
        <w:t xml:space="preserve">Diese Gaukelei ist die Grabdekoration, von der Jesus gesprochen hat.</w:t>
      </w:r>
    </w:p>
    <w:p>
      <w:pPr>
        <w:pStyle w:val="BodyText"/>
      </w:pPr>
      <w:r>
        <w:t xml:space="preserve">Nachdem wir im ersten Teil die himmlische Herzenshaltung wiederhergestellt und im zweiten Teil die dämonische Gaukelei ihrer Grabdekoration durchbrochen haben, tauchen wir im dritten Teil in die Tiefen der Dämonengruft ein. Bis ganz nach unten, wo das Ende ist, um dort einen Abfluss – einen Durchgang zum Anfang – zu installieren.</w:t>
      </w:r>
    </w:p>
    <w:p>
      <w:pPr>
        <w:pStyle w:val="BodyText"/>
      </w:pPr>
      <w:r>
        <w:t xml:space="preserve">Dieser Durchgang ist der ewige Tempel der vollständigen Erneuerung. Er verbindet das Ende des zweiten Todes mit dem Anfang der Neuschöpfung und macht die Funktion dieser physischen Welt als eine Art Krankenhaus für Dämonen, in dem Engel und Dämonen inkognito aufeinandertreffen können, überflüssig.</w:t>
      </w:r>
    </w:p>
    <w:p>
      <w:pPr>
        <w:pStyle w:val="BodyText"/>
      </w:pPr>
      <w:r>
        <w:t xml:space="preserve">Er ist das Tor in der Mauer, die Grenzlinie zwischen dem Reich der Engel und dem Reich der Dämonen. Der Torwächter ist zugleich Chef-Engel und Chef-Dämon, der Herr über den Himmel der Engel und die Hölle der Dämonen.</w:t>
      </w:r>
    </w:p>
    <w:p>
      <w:pPr>
        <w:pStyle w:val="BodyText"/>
      </w:pPr>
      <w:r>
        <w:t xml:space="preserve">Kein Noah kann dich mehr reinwaschen, kein Mose mehr herrichten und kein Jesus mehr begnadigen. Dies alles sind fehlgeschlagene Versuche der Wiederherstellung gewesen, um die gefallenen Engel vor dem zweiten Tod zu bewahren.</w:t>
      </w:r>
    </w:p>
    <w:p>
      <w:pPr>
        <w:pStyle w:val="BodyText"/>
      </w:pPr>
      <w:r>
        <w:t xml:space="preserve">Der zweite Tod ist der vollständige Verlust der einzigartigen Identität und aller damit verbundenen Erinnerungen an ein ehemals gelebtes Leben – sowie die Wiedervereinigung mit dem göttlichen Geist. Er ist vergleichbar mit einem Regentropfen, der zurück in den Ozean fällt, aus dem er einst hervorgegangen ist.</w:t>
      </w:r>
    </w:p>
    <w:p>
      <w:pPr>
        <w:pStyle w:val="BodyText"/>
      </w:pPr>
      <w:r>
        <w:t xml:space="preserve">Der ewige und lebendige Tempel von Jerusalem ist ein Ausdruck des ewigen und lebendigen himmlischen Geistes selbst. Er kann genauso wenig aus der Perspektive des toten und vergänglichen Ausdrucks entdeckt und hervorgebracht werden, wie ein Bild den Maler malen kann. Wir müssen den Weg des Ausdrucks bis zum Ende gehen. Den himmlischen Geist bis aufs Äußerste, bis in den zweiten Tod herausfordern, um ihn in seiner Ganzheit erfahren zu können.</w:t>
      </w:r>
    </w:p>
    <w:p>
      <w:pPr>
        <w:pStyle w:val="BodyText"/>
      </w:pPr>
      <w:r>
        <w:t xml:space="preserve">Dorthin, wo Ende und Anfang sich begegnen. Nur dort, im Anfang – in der Ganzheit des Himmlischen in uns – können wir den Ursprung und das Zentrum des Himmels, den ewigen und lebendigen Tempel von Jerusalem, begreifen und hier in der materiellen Welt wiederfinden und zum Ausdruck bringen.</w:t>
      </w:r>
    </w:p>
    <w:bookmarkEnd w:id="121"/>
    <w:bookmarkStart w:id="123"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22"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22"/>
    <w:bookmarkEnd w:id="123"/>
    <w:bookmarkStart w:id="124"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4"/>
    <w:bookmarkStart w:id="125"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25"/>
    <w:bookmarkStart w:id="126"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26"/>
    <w:bookmarkStart w:id="130"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28" name="Picture"/>
            <a:graphic>
              <a:graphicData uri="http://schemas.openxmlformats.org/drawingml/2006/picture">
                <pic:pic>
                  <pic:nvPicPr>
                    <pic:cNvPr descr="de/images/me.png" id="129" name="Picture"/>
                    <pic:cNvPicPr>
                      <a:picLocks noChangeArrowheads="1" noChangeAspect="1"/>
                    </pic:cNvPicPr>
                  </pic:nvPicPr>
                  <pic:blipFill>
                    <a:blip r:embed="rId127"/>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30"/>
    <w:bookmarkStart w:id="131"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31"/>
    <w:bookmarkStart w:id="132" w:name="wann"/>
    <w:p>
      <w:pPr>
        <w:pStyle w:val="Heading1"/>
      </w:pPr>
      <w:r>
        <w:t xml:space="preserve">Wann?</w:t>
      </w:r>
    </w:p>
    <w:p>
      <w:pPr>
        <w:pStyle w:val="FirstParagraph"/>
      </w:pPr>
      <w:r>
        <w:t xml:space="preserve">Ich kann nicht ewig warten. Meine und eure noch verfügbare Zeit ist sehr kurz bemessen.</w:t>
      </w:r>
    </w:p>
    <w:bookmarkEnd w:id="132"/>
    <w:bookmarkStart w:id="136"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3" name="Picture"/>
            <a:graphic>
              <a:graphicData uri="http://schemas.openxmlformats.org/drawingml/2006/picture">
                <pic:pic>
                  <pic:nvPicPr>
                    <pic:cNvPr descr="de/images/chef-angel.png" id="134" name="Picture"/>
                    <pic:cNvPicPr>
                      <a:picLocks noChangeArrowheads="1" noChangeAspect="1"/>
                    </pic:cNvPicPr>
                  </pic:nvPicPr>
                  <pic:blipFill>
                    <a:blip r:embed="rId117"/>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35"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35"/>
    <w:bookmarkEnd w:id="136"/>
    <w:bookmarkStart w:id="137" w:name="section"/>
    <w:p>
      <w:pPr>
        <w:pStyle w:val="Heading1"/>
      </w:pPr>
    </w:p>
    <w:bookmarkEnd w:id="137"/>
    <w:bookmarkStart w:id="138" w:name="programm-des-dritten-tages"/>
    <w:p>
      <w:pPr>
        <w:pStyle w:val="Heading1"/>
      </w:pPr>
      <w:r>
        <w:t xml:space="preserve">Programm des dritten Tages</w:t>
      </w:r>
    </w:p>
    <w:bookmarkEnd w:id="138"/>
    <w:bookmarkStart w:id="139" w:name="kapitel-1"/>
    <w:p>
      <w:pPr>
        <w:pStyle w:val="Heading1"/>
      </w:pPr>
      <w:r>
        <w:t xml:space="preserve">Kapitel 1</w:t>
      </w:r>
    </w:p>
    <w:bookmarkEnd w:id="139"/>
    <w:bookmarkStart w:id="140"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40"/>
    <w:bookmarkStart w:id="141" w:name="kapitel-2"/>
    <w:p>
      <w:pPr>
        <w:pStyle w:val="Heading1"/>
      </w:pPr>
      <w:r>
        <w:t xml:space="preserve">Kapitel 2</w:t>
      </w:r>
    </w:p>
    <w:bookmarkEnd w:id="141"/>
    <w:bookmarkStart w:id="142"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42"/>
    <w:bookmarkStart w:id="144" w:name="kapitel-3"/>
    <w:p>
      <w:pPr>
        <w:pStyle w:val="Heading1"/>
      </w:pPr>
      <w:r>
        <w:t xml:space="preserve">Kapitel 3</w:t>
      </w:r>
    </w:p>
    <w:bookmarkStart w:id="143"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3"/>
    <w:bookmarkEnd w:id="144"/>
    <w:bookmarkStart w:id="145" w:name="section-1"/>
    <w:p>
      <w:pPr>
        <w:pStyle w:val="Heading1"/>
      </w:pPr>
    </w:p>
    <w:bookmarkEnd w:id="145"/>
    <w:bookmarkStart w:id="146" w:name="section-2"/>
    <w:p>
      <w:pPr>
        <w:pStyle w:val="Heading1"/>
      </w:pPr>
    </w:p>
    <w:bookmarkEnd w:id="146"/>
    <w:bookmarkStart w:id="147" w:name="section-3"/>
    <w:p>
      <w:pPr>
        <w:pStyle w:val="Heading1"/>
      </w:pPr>
    </w:p>
    <w:bookmarkEnd w:id="147"/>
    <w:bookmarkStart w:id="148"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4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7" Target="media/rId117.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127" Target="media/rId127.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6" Target="media/rId86.png" /><Relationship Type="http://schemas.openxmlformats.org/officeDocument/2006/relationships/image" Id="rId22" Target="media/rId22.jp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2025-09-22T19:16:52Z</dcterms:created>
  <dcterms:modified xsi:type="dcterms:W3CDTF">2025-09-22T19:16:52Z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